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26"/>
        <w:gridCol w:w="7726"/>
      </w:tblGrid>
      <w:tr w:rsidR="001D5385" w14:paraId="22CB1702" w14:textId="77777777">
        <w:tc>
          <w:tcPr>
            <w:tcW w:w="772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4AD56D6D" w14:textId="77777777" w:rsidR="001D5385" w:rsidRDefault="00000000" w:rsidP="000313E9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0D435062" wp14:editId="6A6F80C9">
                  <wp:extent cx="1965960" cy="5106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d2c3cc-8d50-47bf-a021-264a9538567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center"/>
          </w:tcPr>
          <w:p w14:paraId="78D3DB8A" w14:textId="77777777" w:rsidR="001D5385" w:rsidRDefault="00000000">
            <w:pPr>
              <w:jc w:val="right"/>
            </w:pPr>
            <w:r>
              <w:rPr>
                <w:b/>
                <w:color w:val="252525"/>
                <w:sz w:val="40"/>
              </w:rPr>
              <w:t>Key Stage 2 Outcomes 2026</w:t>
            </w:r>
          </w:p>
          <w:p w14:paraId="729A4161" w14:textId="77777777" w:rsidR="001D5385" w:rsidRDefault="00000000">
            <w:pPr>
              <w:jc w:val="right"/>
            </w:pPr>
            <w:r>
              <w:rPr>
                <w:color w:val="666666"/>
                <w:sz w:val="18"/>
              </w:rPr>
              <w:t>A summary of our 2025 to 2026 statutory assessment results</w:t>
            </w:r>
          </w:p>
        </w:tc>
      </w:tr>
    </w:tbl>
    <w:p w14:paraId="643E6970" w14:textId="77777777" w:rsidR="001D5385" w:rsidRDefault="00000000">
      <w:pPr>
        <w:spacing w:before="40" w:after="60"/>
      </w:pPr>
      <w:r>
        <w:rPr>
          <w:color w:val="252525"/>
          <w:sz w:val="17"/>
        </w:rPr>
        <w:t>These figures summarise pupils attainment at the end of Key Stage 2 and show the change from the previous academic year.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1"/>
        <w:gridCol w:w="5151"/>
        <w:gridCol w:w="5151"/>
      </w:tblGrid>
      <w:tr w:rsidR="001D5385" w14:paraId="0BF17E84" w14:textId="77777777">
        <w:tc>
          <w:tcPr>
            <w:tcW w:w="515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4EF"/>
            <w:tcMar>
              <w:top w:w="65" w:type="dxa"/>
              <w:left w:w="120" w:type="dxa"/>
              <w:bottom w:w="60" w:type="dxa"/>
              <w:right w:w="120" w:type="dxa"/>
            </w:tcMar>
            <w:vAlign w:val="center"/>
          </w:tcPr>
          <w:p w14:paraId="495FD2FE" w14:textId="77777777" w:rsidR="001D5385" w:rsidRDefault="00000000">
            <w:pPr>
              <w:jc w:val="center"/>
            </w:pPr>
            <w:r>
              <w:rPr>
                <w:b/>
                <w:color w:val="252525"/>
                <w:sz w:val="17"/>
              </w:rPr>
              <w:t>Reading writing and maths at expected standard</w:t>
            </w:r>
          </w:p>
          <w:p w14:paraId="7C2E23ED" w14:textId="77777777" w:rsidR="001D5385" w:rsidRDefault="00000000">
            <w:pPr>
              <w:spacing w:before="20" w:after="20"/>
              <w:jc w:val="center"/>
            </w:pPr>
            <w:r>
              <w:rPr>
                <w:b/>
                <w:color w:val="006633"/>
                <w:sz w:val="40"/>
              </w:rPr>
              <w:t>84.8%</w:t>
            </w:r>
          </w:p>
          <w:p w14:paraId="11252A25" w14:textId="77777777" w:rsidR="001D5385" w:rsidRDefault="00000000">
            <w:pPr>
              <w:jc w:val="center"/>
            </w:pPr>
            <w:r w:rsidRPr="000313E9">
              <w:rPr>
                <w:color w:val="666666"/>
                <w:sz w:val="18"/>
                <w:szCs w:val="28"/>
              </w:rPr>
              <w:t>46.7% in 2025</w:t>
            </w:r>
          </w:p>
        </w:tc>
        <w:tc>
          <w:tcPr>
            <w:tcW w:w="515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BE0"/>
            <w:tcMar>
              <w:top w:w="65" w:type="dxa"/>
              <w:left w:w="120" w:type="dxa"/>
              <w:bottom w:w="60" w:type="dxa"/>
              <w:right w:w="120" w:type="dxa"/>
            </w:tcMar>
            <w:vAlign w:val="center"/>
          </w:tcPr>
          <w:p w14:paraId="59CE8869" w14:textId="77777777" w:rsidR="001D5385" w:rsidRDefault="00000000">
            <w:pPr>
              <w:jc w:val="center"/>
            </w:pPr>
            <w:r>
              <w:rPr>
                <w:b/>
                <w:color w:val="252525"/>
                <w:sz w:val="17"/>
              </w:rPr>
              <w:t>Reading writing and maths at greater depth</w:t>
            </w:r>
          </w:p>
          <w:p w14:paraId="6353FC1C" w14:textId="77777777" w:rsidR="001D5385" w:rsidRDefault="00000000">
            <w:pPr>
              <w:spacing w:before="20" w:after="20"/>
              <w:jc w:val="center"/>
            </w:pPr>
            <w:r>
              <w:rPr>
                <w:b/>
                <w:color w:val="006633"/>
                <w:sz w:val="40"/>
              </w:rPr>
              <w:t>12.1%</w:t>
            </w:r>
          </w:p>
          <w:p w14:paraId="27FBA174" w14:textId="77777777" w:rsidR="001D5385" w:rsidRDefault="00000000">
            <w:pPr>
              <w:jc w:val="center"/>
            </w:pPr>
            <w:r w:rsidRPr="000313E9">
              <w:rPr>
                <w:color w:val="666666"/>
                <w:sz w:val="18"/>
                <w:szCs w:val="28"/>
              </w:rPr>
              <w:t>6.7% in 2025</w:t>
            </w:r>
          </w:p>
        </w:tc>
        <w:tc>
          <w:tcPr>
            <w:tcW w:w="515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4EF"/>
            <w:tcMar>
              <w:top w:w="65" w:type="dxa"/>
              <w:left w:w="120" w:type="dxa"/>
              <w:bottom w:w="60" w:type="dxa"/>
              <w:right w:w="120" w:type="dxa"/>
            </w:tcMar>
            <w:vAlign w:val="center"/>
          </w:tcPr>
          <w:p w14:paraId="7B6DAC77" w14:textId="77777777" w:rsidR="001D5385" w:rsidRDefault="00000000">
            <w:pPr>
              <w:jc w:val="center"/>
            </w:pPr>
            <w:r>
              <w:rPr>
                <w:b/>
                <w:color w:val="252525"/>
                <w:sz w:val="17"/>
              </w:rPr>
              <w:t>Arbor national percentile</w:t>
            </w:r>
          </w:p>
          <w:p w14:paraId="397E3C74" w14:textId="77C2EA6F" w:rsidR="001D5385" w:rsidRDefault="00000000">
            <w:pPr>
              <w:spacing w:before="20" w:after="20"/>
              <w:jc w:val="center"/>
            </w:pPr>
            <w:r>
              <w:rPr>
                <w:b/>
                <w:color w:val="006633"/>
                <w:sz w:val="40"/>
              </w:rPr>
              <w:t>94</w:t>
            </w:r>
            <w:r w:rsidRPr="000313E9">
              <w:rPr>
                <w:b/>
                <w:color w:val="006633"/>
                <w:sz w:val="40"/>
                <w:vertAlign w:val="superscript"/>
              </w:rPr>
              <w:t>th</w:t>
            </w:r>
            <w:r w:rsidR="000313E9">
              <w:rPr>
                <w:b/>
                <w:color w:val="006633"/>
                <w:sz w:val="40"/>
              </w:rPr>
              <w:t xml:space="preserve"> </w:t>
            </w:r>
            <w:r w:rsidR="000313E9" w:rsidRPr="000313E9">
              <w:rPr>
                <w:b/>
                <w:color w:val="006633"/>
                <w:sz w:val="24"/>
                <w:szCs w:val="14"/>
              </w:rPr>
              <w:t>(Top 6% of Arbor schools)</w:t>
            </w:r>
          </w:p>
          <w:p w14:paraId="3AE20548" w14:textId="77777777" w:rsidR="001D5385" w:rsidRDefault="00000000">
            <w:pPr>
              <w:jc w:val="center"/>
            </w:pPr>
            <w:r>
              <w:rPr>
                <w:color w:val="666666"/>
                <w:sz w:val="15"/>
              </w:rPr>
              <w:t>Combined expected standard measure</w:t>
            </w:r>
          </w:p>
        </w:tc>
      </w:tr>
    </w:tbl>
    <w:p w14:paraId="4A8F3BE2" w14:textId="77777777" w:rsidR="001D5385" w:rsidRDefault="00000000">
      <w:pPr>
        <w:spacing w:before="60" w:after="40"/>
      </w:pPr>
      <w:r>
        <w:rPr>
          <w:b/>
          <w:color w:val="252525"/>
          <w:sz w:val="23"/>
        </w:rPr>
        <w:t>Subject outcomes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34"/>
        <w:gridCol w:w="3834"/>
        <w:gridCol w:w="3834"/>
        <w:gridCol w:w="3834"/>
      </w:tblGrid>
      <w:tr w:rsidR="001D5385" w14:paraId="3A548655" w14:textId="77777777">
        <w:trPr>
          <w:cantSplit/>
        </w:trPr>
        <w:tc>
          <w:tcPr>
            <w:tcW w:w="15336" w:type="dxa"/>
            <w:gridSpan w:val="4"/>
            <w:tcBorders>
              <w:top w:val="single" w:sz="8" w:space="0" w:color="004D32"/>
              <w:left w:val="single" w:sz="8" w:space="0" w:color="004D32"/>
              <w:bottom w:val="single" w:sz="8" w:space="0" w:color="004D32"/>
              <w:right w:val="single" w:sz="8" w:space="0" w:color="004D32"/>
            </w:tcBorders>
            <w:shd w:val="clear" w:color="auto" w:fill="004D32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73F93433" w14:textId="77777777" w:rsidR="001D5385" w:rsidRDefault="00000000">
            <w:r>
              <w:rPr>
                <w:b/>
                <w:color w:val="FFFFFF"/>
                <w:sz w:val="19"/>
              </w:rPr>
              <w:t>Reading</w:t>
            </w:r>
          </w:p>
        </w:tc>
      </w:tr>
      <w:tr w:rsidR="001D5385" w14:paraId="3A31EE8C" w14:textId="77777777">
        <w:trPr>
          <w:cantSplit/>
        </w:trPr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57B243D1" w14:textId="7001DB23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Average scaled score</w:t>
            </w:r>
            <w:r w:rsidR="000313E9">
              <w:rPr>
                <w:b/>
                <w:color w:val="252525"/>
                <w:sz w:val="15"/>
              </w:rPr>
              <w:t xml:space="preserve"> 2026 </w:t>
            </w:r>
          </w:p>
          <w:p w14:paraId="6CE09A11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108.26</w:t>
            </w:r>
          </w:p>
          <w:p w14:paraId="7F8362A7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100.50   |   +7.76</w:t>
            </w:r>
          </w:p>
        </w:tc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6E6C90D5" w14:textId="656DE180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Expected standard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55FD386F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87.9%</w:t>
            </w:r>
          </w:p>
          <w:p w14:paraId="6E6ADA4E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53.3%   |   +34.6 pp</w:t>
            </w:r>
          </w:p>
        </w:tc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1445D654" w14:textId="70BBFF47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Greater depth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563C0EE2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45.5%</w:t>
            </w:r>
          </w:p>
          <w:p w14:paraId="5913E10C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13.3%   |   +32.2 pp</w:t>
            </w:r>
          </w:p>
        </w:tc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6AAD673E" w14:textId="77777777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Below expected standard</w:t>
            </w:r>
          </w:p>
          <w:p w14:paraId="195EA638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6.1%</w:t>
            </w:r>
          </w:p>
          <w:p w14:paraId="5F1B6D03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5"/>
                <w:szCs w:val="24"/>
              </w:rPr>
              <w:t>2025  46.7%   |   -40.6 pp</w:t>
            </w:r>
          </w:p>
        </w:tc>
      </w:tr>
    </w:tbl>
    <w:p w14:paraId="28993E43" w14:textId="77777777" w:rsidR="001D5385" w:rsidRDefault="001D5385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34"/>
        <w:gridCol w:w="3834"/>
        <w:gridCol w:w="3834"/>
        <w:gridCol w:w="3834"/>
      </w:tblGrid>
      <w:tr w:rsidR="001D5385" w14:paraId="1B3AB092" w14:textId="77777777">
        <w:trPr>
          <w:cantSplit/>
        </w:trPr>
        <w:tc>
          <w:tcPr>
            <w:tcW w:w="15336" w:type="dxa"/>
            <w:gridSpan w:val="4"/>
            <w:tcBorders>
              <w:top w:val="single" w:sz="8" w:space="0" w:color="004D32"/>
              <w:left w:val="single" w:sz="8" w:space="0" w:color="004D32"/>
              <w:bottom w:val="single" w:sz="8" w:space="0" w:color="004D32"/>
              <w:right w:val="single" w:sz="8" w:space="0" w:color="004D32"/>
            </w:tcBorders>
            <w:shd w:val="clear" w:color="auto" w:fill="004D32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19F65C2C" w14:textId="77777777" w:rsidR="001D5385" w:rsidRDefault="00000000">
            <w:r>
              <w:rPr>
                <w:b/>
                <w:color w:val="FFFFFF"/>
                <w:sz w:val="19"/>
              </w:rPr>
              <w:t>Mathematics</w:t>
            </w:r>
          </w:p>
        </w:tc>
      </w:tr>
      <w:tr w:rsidR="001D5385" w14:paraId="306705ED" w14:textId="77777777">
        <w:trPr>
          <w:cantSplit/>
        </w:trPr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35948770" w14:textId="4365437D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Average scaled score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1E1CA895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107.44</w:t>
            </w:r>
          </w:p>
          <w:p w14:paraId="4C7C2E40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5"/>
                <w:szCs w:val="24"/>
              </w:rPr>
              <w:t>2025  101.37   |   +6.07</w:t>
            </w:r>
          </w:p>
        </w:tc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53072A16" w14:textId="12ADC255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Expected standard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54E669DA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87.9%</w:t>
            </w:r>
          </w:p>
          <w:p w14:paraId="2677C490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70.0%   |   +17.9 pp</w:t>
            </w:r>
          </w:p>
        </w:tc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5BBC7F29" w14:textId="25D680CE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Greater depth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6967203C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36.4%</w:t>
            </w:r>
          </w:p>
          <w:p w14:paraId="344C7D8E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6.7%   |   +29.7 pp</w:t>
            </w:r>
          </w:p>
        </w:tc>
        <w:tc>
          <w:tcPr>
            <w:tcW w:w="3834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75798FAB" w14:textId="5F2E4263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Below expected standard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53898037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9.1%</w:t>
            </w:r>
          </w:p>
          <w:p w14:paraId="5D08A9CD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30.0%   |   -20.9 pp</w:t>
            </w:r>
          </w:p>
        </w:tc>
      </w:tr>
    </w:tbl>
    <w:p w14:paraId="7B5B1083" w14:textId="77777777" w:rsidR="001D5385" w:rsidRDefault="001D5385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  <w:gridCol w:w="5112"/>
      </w:tblGrid>
      <w:tr w:rsidR="001D5385" w14:paraId="5377A7B4" w14:textId="77777777">
        <w:trPr>
          <w:cantSplit/>
        </w:trPr>
        <w:tc>
          <w:tcPr>
            <w:tcW w:w="15336" w:type="dxa"/>
            <w:gridSpan w:val="3"/>
            <w:tcBorders>
              <w:top w:val="single" w:sz="8" w:space="0" w:color="004D32"/>
              <w:left w:val="single" w:sz="8" w:space="0" w:color="004D32"/>
              <w:bottom w:val="single" w:sz="8" w:space="0" w:color="004D32"/>
              <w:right w:val="single" w:sz="8" w:space="0" w:color="004D32"/>
            </w:tcBorders>
            <w:shd w:val="clear" w:color="auto" w:fill="004D32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6F95735D" w14:textId="77777777" w:rsidR="001D5385" w:rsidRDefault="00000000">
            <w:r>
              <w:rPr>
                <w:b/>
                <w:color w:val="FFFFFF"/>
                <w:sz w:val="19"/>
              </w:rPr>
              <w:t>Writing</w:t>
            </w:r>
          </w:p>
        </w:tc>
      </w:tr>
      <w:tr w:rsidR="001D5385" w14:paraId="18776921" w14:textId="77777777">
        <w:trPr>
          <w:cantSplit/>
        </w:trPr>
        <w:tc>
          <w:tcPr>
            <w:tcW w:w="511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3069740A" w14:textId="3FD7499A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Expected standard teacher assessment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589580B1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84.8%</w:t>
            </w:r>
          </w:p>
          <w:p w14:paraId="7A76F711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80.0%   |   +4.8 pp</w:t>
            </w:r>
          </w:p>
        </w:tc>
        <w:tc>
          <w:tcPr>
            <w:tcW w:w="511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40F12F2D" w14:textId="26C1BA6D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 xml:space="preserve">Greater </w:t>
            </w:r>
            <w:proofErr w:type="gramStart"/>
            <w:r>
              <w:rPr>
                <w:b/>
                <w:color w:val="252525"/>
                <w:sz w:val="15"/>
              </w:rPr>
              <w:t>depth teacher</w:t>
            </w:r>
            <w:proofErr w:type="gramEnd"/>
            <w:r>
              <w:rPr>
                <w:b/>
                <w:color w:val="252525"/>
                <w:sz w:val="15"/>
              </w:rPr>
              <w:t xml:space="preserve"> assessment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7FABAFAE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12.1%</w:t>
            </w:r>
          </w:p>
          <w:p w14:paraId="787F9A59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6.7%   |   +5.4 pp</w:t>
            </w:r>
          </w:p>
        </w:tc>
        <w:tc>
          <w:tcPr>
            <w:tcW w:w="511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52513726" w14:textId="0DB01057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Working towards expected standard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10BD9F86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9.1%</w:t>
            </w:r>
          </w:p>
          <w:p w14:paraId="559D8EAD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20.0%   |   -10.9 pp</w:t>
            </w:r>
          </w:p>
        </w:tc>
      </w:tr>
    </w:tbl>
    <w:p w14:paraId="3808C824" w14:textId="77777777" w:rsidR="001D5385" w:rsidRDefault="001D5385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  <w:gridCol w:w="5112"/>
      </w:tblGrid>
      <w:tr w:rsidR="001D5385" w14:paraId="59778CB2" w14:textId="77777777">
        <w:trPr>
          <w:cantSplit/>
        </w:trPr>
        <w:tc>
          <w:tcPr>
            <w:tcW w:w="15336" w:type="dxa"/>
            <w:gridSpan w:val="3"/>
            <w:tcBorders>
              <w:top w:val="single" w:sz="8" w:space="0" w:color="004D32"/>
              <w:left w:val="single" w:sz="8" w:space="0" w:color="004D32"/>
              <w:bottom w:val="single" w:sz="8" w:space="0" w:color="004D32"/>
              <w:right w:val="single" w:sz="8" w:space="0" w:color="004D32"/>
            </w:tcBorders>
            <w:shd w:val="clear" w:color="auto" w:fill="004D32"/>
            <w:tcMar>
              <w:top w:w="30" w:type="dxa"/>
              <w:left w:w="80" w:type="dxa"/>
              <w:bottom w:w="30" w:type="dxa"/>
              <w:right w:w="80" w:type="dxa"/>
            </w:tcMar>
          </w:tcPr>
          <w:p w14:paraId="43F2ECE9" w14:textId="77777777" w:rsidR="001D5385" w:rsidRDefault="00000000">
            <w:r>
              <w:rPr>
                <w:b/>
                <w:color w:val="FFFFFF"/>
                <w:sz w:val="19"/>
              </w:rPr>
              <w:t>Grammar punctuation and spelling</w:t>
            </w:r>
          </w:p>
        </w:tc>
      </w:tr>
      <w:tr w:rsidR="001D5385" w14:paraId="4F37A775" w14:textId="77777777">
        <w:trPr>
          <w:cantSplit/>
        </w:trPr>
        <w:tc>
          <w:tcPr>
            <w:tcW w:w="511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5A5D71A3" w14:textId="0BECB7C8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Average scaled score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4DDD6669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107.78</w:t>
            </w:r>
          </w:p>
          <w:p w14:paraId="41AEAF13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102.23   |   +5.55</w:t>
            </w:r>
          </w:p>
        </w:tc>
        <w:tc>
          <w:tcPr>
            <w:tcW w:w="511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657F3914" w14:textId="7DFA5E26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Expected standard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5CBD918D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90.9%</w:t>
            </w:r>
          </w:p>
          <w:p w14:paraId="6F85AD87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63.3%   |   +27.6 pp</w:t>
            </w:r>
          </w:p>
        </w:tc>
        <w:tc>
          <w:tcPr>
            <w:tcW w:w="511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AF4EF"/>
            <w:tcMar>
              <w:top w:w="25" w:type="dxa"/>
              <w:left w:w="65" w:type="dxa"/>
              <w:bottom w:w="25" w:type="dxa"/>
              <w:right w:w="65" w:type="dxa"/>
            </w:tcMar>
            <w:vAlign w:val="center"/>
          </w:tcPr>
          <w:p w14:paraId="765F160A" w14:textId="22704C15" w:rsidR="001D5385" w:rsidRDefault="00000000">
            <w:pPr>
              <w:spacing w:after="0"/>
              <w:jc w:val="center"/>
            </w:pPr>
            <w:r>
              <w:rPr>
                <w:b/>
                <w:color w:val="252525"/>
                <w:sz w:val="15"/>
              </w:rPr>
              <w:t>Below expected standard</w:t>
            </w:r>
            <w:r w:rsidR="000313E9">
              <w:rPr>
                <w:b/>
                <w:color w:val="252525"/>
                <w:sz w:val="15"/>
              </w:rPr>
              <w:t xml:space="preserve"> 2026</w:t>
            </w:r>
          </w:p>
          <w:p w14:paraId="38DD8388" w14:textId="77777777" w:rsidR="001D5385" w:rsidRDefault="00000000">
            <w:pPr>
              <w:spacing w:before="20" w:after="0"/>
              <w:jc w:val="center"/>
            </w:pPr>
            <w:r>
              <w:rPr>
                <w:b/>
                <w:color w:val="006633"/>
                <w:sz w:val="25"/>
              </w:rPr>
              <w:t>6.1%</w:t>
            </w:r>
          </w:p>
          <w:p w14:paraId="250BC2AA" w14:textId="77777777" w:rsidR="001D5385" w:rsidRDefault="00000000">
            <w:pPr>
              <w:spacing w:after="0"/>
              <w:jc w:val="center"/>
            </w:pPr>
            <w:r w:rsidRPr="000313E9">
              <w:rPr>
                <w:color w:val="666666"/>
                <w:sz w:val="16"/>
                <w:szCs w:val="28"/>
              </w:rPr>
              <w:t>2025  36.7%   |   -30.6 pp</w:t>
            </w:r>
          </w:p>
        </w:tc>
      </w:tr>
    </w:tbl>
    <w:p w14:paraId="25201A15" w14:textId="77777777" w:rsidR="001D5385" w:rsidRDefault="001D5385">
      <w:pPr>
        <w:spacing w:after="0"/>
      </w:pPr>
    </w:p>
    <w:p w14:paraId="5B9564A7" w14:textId="77777777" w:rsidR="001D5385" w:rsidRDefault="00000000">
      <w:pPr>
        <w:spacing w:before="20" w:after="0"/>
      </w:pPr>
      <w:r>
        <w:rPr>
          <w:b/>
          <w:color w:val="252525"/>
          <w:sz w:val="14"/>
        </w:rPr>
        <w:t xml:space="preserve">Notes  </w:t>
      </w:r>
      <w:r>
        <w:rPr>
          <w:color w:val="666666"/>
          <w:sz w:val="14"/>
        </w:rPr>
        <w:t>Percentages may not total 100 because of absence or rounding. Writing outcomes are based on teacher assessment. pp means percentage points. Source Arbor 2026 SATs data.</w:t>
      </w:r>
    </w:p>
    <w:sectPr w:rsidR="001D5385" w:rsidSect="00034616">
      <w:pgSz w:w="16834" w:h="11909" w:orient="landscape"/>
      <w:pgMar w:top="360" w:right="691" w:bottom="360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2618960">
    <w:abstractNumId w:val="8"/>
  </w:num>
  <w:num w:numId="2" w16cid:durableId="1493644380">
    <w:abstractNumId w:val="6"/>
  </w:num>
  <w:num w:numId="3" w16cid:durableId="2051763047">
    <w:abstractNumId w:val="5"/>
  </w:num>
  <w:num w:numId="4" w16cid:durableId="1046491640">
    <w:abstractNumId w:val="4"/>
  </w:num>
  <w:num w:numId="5" w16cid:durableId="870651132">
    <w:abstractNumId w:val="7"/>
  </w:num>
  <w:num w:numId="6" w16cid:durableId="167409743">
    <w:abstractNumId w:val="3"/>
  </w:num>
  <w:num w:numId="7" w16cid:durableId="1486581887">
    <w:abstractNumId w:val="2"/>
  </w:num>
  <w:num w:numId="8" w16cid:durableId="1439332854">
    <w:abstractNumId w:val="1"/>
  </w:num>
  <w:num w:numId="9" w16cid:durableId="150716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E9"/>
    <w:rsid w:val="00034616"/>
    <w:rsid w:val="0006063C"/>
    <w:rsid w:val="0015074B"/>
    <w:rsid w:val="001D5385"/>
    <w:rsid w:val="0029639D"/>
    <w:rsid w:val="00326F90"/>
    <w:rsid w:val="009658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0B741A"/>
  <w14:defaultImageDpi w14:val="300"/>
  <w15:docId w15:val="{A8BB3858-9735-4025-9636-1BABE9E9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Lady of Mount Carmel Key Stage 2 Outcomes 2026</dc:title>
  <dc:subject>Statutory assessment results for publication on the school website</dc:subject>
  <dc:creator>python-docx</dc:creator>
  <cp:keywords/>
  <dc:description>generated by python-docx</dc:description>
  <cp:lastModifiedBy>Jo-Ann Sowerby</cp:lastModifiedBy>
  <cp:revision>2</cp:revision>
  <dcterms:created xsi:type="dcterms:W3CDTF">2026-09-09T10:36:00Z</dcterms:created>
  <dcterms:modified xsi:type="dcterms:W3CDTF">2026-09-09T10:36:00Z</dcterms:modified>
  <cp:category/>
</cp:coreProperties>
</file>